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01" w:rsidRPr="00AF2244" w:rsidRDefault="003C3E07" w:rsidP="003C3E07">
      <w:pPr>
        <w:pBdr>
          <w:bottom w:val="single" w:sz="4" w:space="1" w:color="auto"/>
        </w:pBdr>
        <w:ind w:left="720" w:hanging="720"/>
        <w:rPr>
          <w:rFonts w:cstheme="minorHAnsi"/>
          <w:b/>
          <w:color w:val="0F243E" w:themeColor="text2" w:themeShade="80"/>
          <w:sz w:val="32"/>
          <w:szCs w:val="24"/>
        </w:rPr>
      </w:pPr>
      <w:bookmarkStart w:id="0" w:name="_GoBack"/>
      <w:bookmarkEnd w:id="0"/>
      <w:r w:rsidRPr="00AF2244">
        <w:rPr>
          <w:rFonts w:cstheme="minorHAnsi"/>
          <w:b/>
          <w:color w:val="0F243E" w:themeColor="text2" w:themeShade="80"/>
          <w:sz w:val="40"/>
          <w:szCs w:val="24"/>
        </w:rPr>
        <w:t>Homework</w:t>
      </w:r>
      <w:r w:rsidRPr="00AF2244">
        <w:rPr>
          <w:rFonts w:cstheme="minorHAnsi"/>
          <w:b/>
          <w:color w:val="0F243E" w:themeColor="text2" w:themeShade="80"/>
          <w:sz w:val="32"/>
          <w:szCs w:val="24"/>
        </w:rPr>
        <w:t xml:space="preserve"> </w:t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 xml:space="preserve">  </w:t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D721D3">
        <w:rPr>
          <w:rFonts w:cstheme="minorHAnsi"/>
          <w:b/>
          <w:color w:val="0F243E" w:themeColor="text2" w:themeShade="80"/>
          <w:sz w:val="32"/>
          <w:szCs w:val="24"/>
        </w:rPr>
        <w:t>Econ 4340</w:t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r w:rsidR="00560500">
        <w:rPr>
          <w:rFonts w:cstheme="minorHAnsi"/>
          <w:b/>
          <w:color w:val="0F243E" w:themeColor="text2" w:themeShade="80"/>
          <w:sz w:val="32"/>
          <w:szCs w:val="24"/>
        </w:rPr>
        <w:tab/>
      </w:r>
      <w:hyperlink r:id="rId5" w:history="1">
        <w:r w:rsidR="00560500" w:rsidRPr="00560500">
          <w:rPr>
            <w:rStyle w:val="Hyperlink"/>
            <w:rFonts w:cstheme="minorHAnsi"/>
            <w:b/>
            <w:sz w:val="24"/>
            <w:szCs w:val="24"/>
          </w:rPr>
          <w:t>due date</w:t>
        </w:r>
      </w:hyperlink>
      <w:r w:rsidR="00560500">
        <w:rPr>
          <w:rFonts w:cstheme="minorHAnsi"/>
          <w:b/>
          <w:color w:val="0F243E" w:themeColor="text2" w:themeShade="80"/>
          <w:sz w:val="32"/>
          <w:szCs w:val="24"/>
        </w:rPr>
        <w:t xml:space="preserve">  </w:t>
      </w:r>
    </w:p>
    <w:p w:rsidR="00014A01" w:rsidRPr="003C3E07" w:rsidRDefault="00014A01" w:rsidP="006778A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Suppose the demand for standard sized bottled water in the US is </w:t>
      </w:r>
      <w:proofErr w:type="spellStart"/>
      <w:r w:rsidRPr="003C3E07">
        <w:rPr>
          <w:rFonts w:ascii="Arial" w:hAnsi="Arial" w:cs="Arial"/>
          <w:b/>
          <w:color w:val="FF0000"/>
          <w:sz w:val="24"/>
          <w:szCs w:val="24"/>
        </w:rPr>
        <w:t>Q</w:t>
      </w:r>
      <w:r w:rsidRPr="003C3E07">
        <w:rPr>
          <w:rFonts w:ascii="Arial" w:hAnsi="Arial" w:cs="Arial"/>
          <w:b/>
          <w:color w:val="FF0000"/>
          <w:sz w:val="24"/>
          <w:szCs w:val="24"/>
          <w:vertAlign w:val="subscript"/>
        </w:rPr>
        <w:t>d</w:t>
      </w:r>
      <w:proofErr w:type="spellEnd"/>
      <w:r w:rsidR="00BC42F2" w:rsidRPr="003C3E07">
        <w:rPr>
          <w:rFonts w:ascii="Arial" w:hAnsi="Arial" w:cs="Arial"/>
          <w:b/>
          <w:color w:val="FF0000"/>
          <w:sz w:val="24"/>
          <w:szCs w:val="24"/>
        </w:rPr>
        <w:t>=120</w:t>
      </w:r>
      <w:r w:rsidRPr="003C3E07">
        <w:rPr>
          <w:rFonts w:ascii="Arial" w:hAnsi="Arial" w:cs="Arial"/>
          <w:b/>
          <w:color w:val="FF0000"/>
          <w:sz w:val="24"/>
          <w:szCs w:val="24"/>
        </w:rPr>
        <w:t>-30.5P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where </w:t>
      </w:r>
      <w:proofErr w:type="spellStart"/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Q</w:t>
      </w:r>
      <w:r w:rsidRPr="003C3E07">
        <w:rPr>
          <w:rFonts w:ascii="Arial" w:hAnsi="Arial" w:cs="Arial"/>
          <w:color w:val="0F243E" w:themeColor="text2" w:themeShade="80"/>
          <w:sz w:val="24"/>
          <w:szCs w:val="24"/>
          <w:vertAlign w:val="subscript"/>
        </w:rPr>
        <w:t>d</w:t>
      </w:r>
      <w:proofErr w:type="spellEnd"/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is </w:t>
      </w:r>
      <w:r w:rsidR="00BC42F2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monthly 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quantity demanded in millions and P is the price per bottle in dollars and cents.</w:t>
      </w:r>
    </w:p>
    <w:p w:rsidR="00014A01" w:rsidRPr="003C3E07" w:rsidRDefault="00014A01" w:rsidP="006778A5">
      <w:pPr>
        <w:ind w:left="1440" w:hanging="72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A.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  <w:t xml:space="preserve">If the marginal private cost (MPC) of producing the bottled water is </w:t>
      </w:r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one dollar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, calculate the market equilibrium quantity.</w:t>
      </w:r>
    </w:p>
    <w:p w:rsidR="00014A01" w:rsidRPr="003C3E07" w:rsidRDefault="00014A01" w:rsidP="006778A5">
      <w:pPr>
        <w:ind w:left="144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B.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Explain what a constant marginal cost implies.  Does that mean the total opportunity cost of producing </w:t>
      </w:r>
      <w:r w:rsidR="00BA783B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bottled water 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is unrelated to how many are produced?</w:t>
      </w:r>
    </w:p>
    <w:p w:rsidR="00BA783B" w:rsidRPr="003C3E07" w:rsidRDefault="00BA783B" w:rsidP="006778A5">
      <w:pPr>
        <w:ind w:left="144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C.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Let’s assume that the marginal private benefit (MPB) of bottled water equals the marginal social benefit (MSB).  Explain what that means. </w:t>
      </w:r>
    </w:p>
    <w:p w:rsidR="00BA783B" w:rsidRPr="003C3E07" w:rsidRDefault="00BA783B" w:rsidP="006778A5">
      <w:pPr>
        <w:ind w:left="1440" w:hanging="72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D</w:t>
      </w:r>
      <w:r w:rsidR="00014A01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.</w:t>
      </w:r>
      <w:r w:rsidR="00014A01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At the equilibrium calculated in pa</w:t>
      </w:r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rt </w:t>
      </w:r>
      <w:proofErr w:type="gramStart"/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A</w:t>
      </w:r>
      <w:proofErr w:type="gramEnd"/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, what do you know about buyers’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willingness to pay </w:t>
      </w:r>
      <w:r w:rsidR="00BA0CD2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in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</w:t>
      </w:r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each 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transaction?</w:t>
      </w:r>
    </w:p>
    <w:p w:rsidR="00BA783B" w:rsidRPr="003C3E07" w:rsidRDefault="00BA783B" w:rsidP="006778A5">
      <w:pPr>
        <w:ind w:left="72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Water is normally bottled in plastic.  </w:t>
      </w:r>
      <w:r w:rsidR="00014A01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Let’s assume the manufacturing process emits fumes that affect those living around the 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bottling plants.  </w:t>
      </w:r>
      <w:r w:rsidR="00014A01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The 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external cost generated for every bottled water</w:t>
      </w:r>
      <w:r w:rsidR="00B237A0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is 25 cents.</w:t>
      </w:r>
      <w:r w:rsidR="00014A01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</w:t>
      </w:r>
    </w:p>
    <w:p w:rsidR="00BA783B" w:rsidRDefault="00BA783B" w:rsidP="006778A5">
      <w:pPr>
        <w:ind w:left="1440" w:hanging="72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E.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  <w:t>Illustrate</w:t>
      </w:r>
      <w:r w:rsidR="00A475E6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and calculate the efficient equilibrium.  E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xplain how the market is misallocating resources by overproducing bottle</w:t>
      </w:r>
      <w:r w:rsidR="00BC42F2"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d</w:t>
      </w:r>
      <w:r w:rsidRPr="003C3E07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water.</w:t>
      </w:r>
    </w:p>
    <w:p w:rsidR="00F86CF3" w:rsidRDefault="00F86CF3" w:rsidP="00F86CF3">
      <w:pPr>
        <w:spacing w:after="0" w:line="240" w:lineRule="auto"/>
        <w:ind w:left="1440" w:hanging="72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F.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</w:r>
      <w:r w:rsidR="00A475E6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Suppose empty water bottles were routinely disc</w:t>
      </w:r>
      <w:r w:rsidR="00763F1A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arded on the street as litter. </w:t>
      </w:r>
    </w:p>
    <w:p w:rsidR="00F86CF3" w:rsidRDefault="00F86CF3" w:rsidP="00E15C98">
      <w:pPr>
        <w:tabs>
          <w:tab w:val="left" w:pos="3870"/>
        </w:tabs>
        <w:spacing w:after="0" w:line="240" w:lineRule="auto"/>
        <w:ind w:left="1890" w:hanging="45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1.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</w:r>
      <w:r w:rsidR="00763F1A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Make an argument that litter represents an exte</w:t>
      </w:r>
      <w:r w:rsidR="00E0717B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rnal cost in terms of lost benefits</w:t>
      </w:r>
      <w:r w:rsidR="00763F1A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.</w:t>
      </w:r>
      <w:r w:rsidR="00106873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 To whom?</w:t>
      </w:r>
    </w:p>
    <w:p w:rsidR="00F86CF3" w:rsidRDefault="00F86CF3" w:rsidP="00E15C98">
      <w:pPr>
        <w:tabs>
          <w:tab w:val="left" w:pos="3870"/>
        </w:tabs>
        <w:spacing w:after="0" w:line="240" w:lineRule="auto"/>
        <w:ind w:left="1890" w:hanging="450"/>
        <w:rPr>
          <w:rFonts w:ascii="Arial" w:hAnsi="Arial" w:cs="Arial"/>
          <w:color w:val="0F243E" w:themeColor="text2" w:themeShade="80"/>
          <w:spacing w:val="-2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2.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  <w:t>What does litter have to do with allocating scarce resources?</w:t>
      </w:r>
    </w:p>
    <w:p w:rsidR="005B386B" w:rsidRPr="003C3E07" w:rsidRDefault="00F86CF3" w:rsidP="00E15C98">
      <w:pPr>
        <w:tabs>
          <w:tab w:val="left" w:pos="3870"/>
        </w:tabs>
        <w:spacing w:after="0" w:line="240" w:lineRule="auto"/>
        <w:ind w:left="1890" w:hanging="450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3.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ab/>
        <w:t>How would you model the lit</w:t>
      </w:r>
      <w:r w:rsidR="00E15C98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ter problem in the above supply/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demand diagram</w:t>
      </w:r>
      <w:r w:rsidR="00031300"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 xml:space="preserve"> for bottled water</w:t>
      </w:r>
      <w:r>
        <w:rPr>
          <w:rFonts w:ascii="Arial" w:hAnsi="Arial" w:cs="Arial"/>
          <w:color w:val="0F243E" w:themeColor="text2" w:themeShade="80"/>
          <w:spacing w:val="-2"/>
          <w:sz w:val="24"/>
          <w:szCs w:val="24"/>
        </w:rPr>
        <w:t>?</w:t>
      </w:r>
      <w:r w:rsidR="005B386B" w:rsidRPr="003C3E07">
        <w:rPr>
          <w:rFonts w:ascii="Arial" w:hAnsi="Arial" w:cs="Arial"/>
          <w:color w:val="0F243E" w:themeColor="text2" w:themeShade="80"/>
          <w:sz w:val="24"/>
          <w:szCs w:val="24"/>
        </w:rPr>
        <w:br w:type="page"/>
      </w:r>
    </w:p>
    <w:p w:rsidR="005B386B" w:rsidRPr="003C3E07" w:rsidRDefault="005B386B" w:rsidP="006778A5">
      <w:pPr>
        <w:pStyle w:val="ListParagraph"/>
        <w:numPr>
          <w:ilvl w:val="0"/>
          <w:numId w:val="1"/>
        </w:numPr>
        <w:spacing w:before="100" w:beforeAutospacing="1" w:after="0" w:line="240" w:lineRule="auto"/>
        <w:ind w:hanging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lastRenderedPageBreak/>
        <w:t xml:space="preserve">Suppose a power generating plant emits particulates that damage crops and affect human health.  The relationship between emissions and environmental damage is represented by the marginal damage function, </w:t>
      </w:r>
    </w:p>
    <w:p w:rsidR="005B386B" w:rsidRPr="003C3E07" w:rsidRDefault="005B386B" w:rsidP="003C3E07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Times New Roman" w:hAnsi="Arial" w:cs="Arial"/>
          <w:b/>
          <w:color w:val="FF0000"/>
          <w:sz w:val="24"/>
          <w:szCs w:val="24"/>
        </w:rPr>
        <w:t>MD=9e</w:t>
      </w: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 where </w:t>
      </w:r>
      <w:proofErr w:type="spellStart"/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e</w:t>
      </w:r>
      <w:proofErr w:type="spellEnd"/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 represents tons of emissions per month.</w:t>
      </w:r>
    </w:p>
    <w:p w:rsidR="005B386B" w:rsidRPr="003C3E07" w:rsidRDefault="005B386B" w:rsidP="003C3E07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The cost to the firm (and society) of eliminating emissions is represented the marginal abatement cost function,</w:t>
      </w:r>
    </w:p>
    <w:p w:rsidR="005B386B" w:rsidRPr="003C3E07" w:rsidRDefault="005B386B" w:rsidP="003C3E07">
      <w:pPr>
        <w:spacing w:before="100" w:beforeAutospacing="1"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C3E07">
        <w:rPr>
          <w:rFonts w:ascii="Arial" w:eastAsia="Times New Roman" w:hAnsi="Arial" w:cs="Arial"/>
          <w:b/>
          <w:color w:val="FF0000"/>
          <w:sz w:val="24"/>
          <w:szCs w:val="24"/>
        </w:rPr>
        <w:t>MAC=108.5</w:t>
      </w:r>
      <w:r w:rsidR="00CA4AFB" w:rsidRPr="003C3E0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3C3E07">
        <w:rPr>
          <w:rFonts w:ascii="Arial" w:eastAsia="Times New Roman" w:hAnsi="Arial" w:cs="Arial"/>
          <w:b/>
          <w:color w:val="FF0000"/>
          <w:sz w:val="24"/>
          <w:szCs w:val="24"/>
        </w:rPr>
        <w:t>-</w:t>
      </w:r>
      <w:r w:rsidR="00CA4AFB" w:rsidRPr="003C3E07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3C3E07">
        <w:rPr>
          <w:rFonts w:ascii="Arial" w:eastAsia="Times New Roman" w:hAnsi="Arial" w:cs="Arial"/>
          <w:b/>
          <w:color w:val="FF0000"/>
          <w:sz w:val="24"/>
          <w:szCs w:val="24"/>
        </w:rPr>
        <w:t>6.5e</w:t>
      </w:r>
    </w:p>
    <w:p w:rsidR="005B386B" w:rsidRPr="003C3E07" w:rsidRDefault="005B386B" w:rsidP="003C3E07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Both MD and MAC are </w:t>
      </w:r>
      <w:r w:rsidR="00B237A0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dollar cost</w:t>
      </w:r>
      <w:r w:rsidR="00BA0CD2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s</w:t>
      </w:r>
      <w:r w:rsidR="00B237A0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 per month.</w:t>
      </w:r>
    </w:p>
    <w:p w:rsidR="005B386B" w:rsidRPr="003C3E07" w:rsidRDefault="005B386B" w:rsidP="003C3E07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A.</w:t>
      </w:r>
      <w:r w:rsidR="003C3E07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If the power generating firm were allowed to ignore the social cost of its emissions, what would be the firm’s monthly emission level?</w:t>
      </w:r>
    </w:p>
    <w:p w:rsidR="005B386B" w:rsidRPr="003C3E07" w:rsidRDefault="005B386B" w:rsidP="003C3E07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B.</w:t>
      </w:r>
      <w:r w:rsidR="003C3E07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Calculate the socially efficient level of pollution.</w:t>
      </w:r>
    </w:p>
    <w:p w:rsidR="00B42330" w:rsidRPr="003C3E07" w:rsidRDefault="005B386B" w:rsidP="003C3E07">
      <w:pPr>
        <w:spacing w:before="100" w:beforeAutospacing="1" w:after="100" w:afterAutospacing="1" w:line="240" w:lineRule="auto"/>
        <w:ind w:left="1440" w:hanging="720"/>
        <w:rPr>
          <w:rFonts w:ascii="Arial" w:eastAsia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C.</w:t>
      </w:r>
      <w:r w:rsidR="003C3E07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="00B237A0">
        <w:rPr>
          <w:rFonts w:ascii="Arial" w:eastAsia="Arial" w:hAnsi="Arial" w:cs="Arial"/>
          <w:color w:val="0F243E" w:themeColor="text2" w:themeShade="80"/>
          <w:sz w:val="24"/>
          <w:szCs w:val="24"/>
        </w:rPr>
        <w:t>If the emissions calculated in part B</w:t>
      </w:r>
      <w:r w:rsidR="00B42330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</w:t>
      </w:r>
      <w:r w:rsidR="00B022F3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is a level </w:t>
      </w:r>
      <w:r w:rsidR="00B42330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found to shorten some people</w:t>
      </w:r>
      <w:r w:rsidR="004D0FAF">
        <w:rPr>
          <w:rFonts w:ascii="Arial" w:eastAsia="Arial" w:hAnsi="Arial" w:cs="Arial"/>
          <w:color w:val="0F243E" w:themeColor="text2" w:themeShade="80"/>
          <w:sz w:val="24"/>
          <w:szCs w:val="24"/>
        </w:rPr>
        <w:t>’</w:t>
      </w:r>
      <w:r w:rsidR="00B42330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s lives, could it still be considered socially efficient?</w:t>
      </w:r>
    </w:p>
    <w:p w:rsidR="00B022F3" w:rsidRPr="003C3E07" w:rsidRDefault="00B42330" w:rsidP="003C3E07">
      <w:pPr>
        <w:spacing w:before="100" w:beforeAutospacing="1" w:after="100" w:afterAutospacing="1" w:line="240" w:lineRule="auto"/>
        <w:ind w:left="1440" w:hanging="720"/>
        <w:rPr>
          <w:rFonts w:ascii="Arial" w:eastAsia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</w:t>
      </w:r>
      <w:r w:rsidR="005B386B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D.</w:t>
      </w:r>
      <w:r w:rsidR="003C3E07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="00BC42F2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Suppose the EPA set an emission standard at the socially efficient level calculated in part B.  Calculate the cost to the firm of achieving this standard.</w:t>
      </w:r>
    </w:p>
    <w:p w:rsidR="00B022F3" w:rsidRPr="003C3E07" w:rsidRDefault="00B022F3" w:rsidP="003C3E07">
      <w:pPr>
        <w:spacing w:before="100" w:beforeAutospacing="1" w:after="100" w:afterAutospacing="1" w:line="240" w:lineRule="auto"/>
        <w:ind w:left="1440" w:hanging="720"/>
        <w:rPr>
          <w:rFonts w:ascii="Arial" w:eastAsia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E.</w:t>
      </w: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="00BC42F2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Suppose that instead of a</w:t>
      </w:r>
      <w:r w:rsidR="00B237A0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</w:t>
      </w:r>
      <w:r w:rsidR="00BC42F2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standard, the EPA charged an emissions tax.</w:t>
      </w:r>
      <w:r w:rsidR="007057CD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 The tax is set at the point that would induce the firm to produce at the efficient level.</w:t>
      </w:r>
      <w:r w:rsidR="00BC42F2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 </w:t>
      </w:r>
      <w:r w:rsidR="00B237A0">
        <w:rPr>
          <w:rFonts w:ascii="Arial" w:eastAsia="Arial" w:hAnsi="Arial" w:cs="Arial"/>
          <w:color w:val="0F243E" w:themeColor="text2" w:themeShade="80"/>
          <w:sz w:val="24"/>
          <w:szCs w:val="24"/>
        </w:rPr>
        <w:t>What tax rate</w:t>
      </w: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 xml:space="preserve"> would </w:t>
      </w:r>
      <w:r w:rsidR="00BC42F2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it set?</w:t>
      </w:r>
    </w:p>
    <w:p w:rsidR="002A5EFC" w:rsidRPr="003C3E07" w:rsidRDefault="00B022F3" w:rsidP="003C3E07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F</w:t>
      </w:r>
      <w:r w:rsidR="005B386B"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>.</w:t>
      </w:r>
      <w:r w:rsidRPr="003C3E07">
        <w:rPr>
          <w:rFonts w:ascii="Arial" w:eastAsia="Arial" w:hAnsi="Arial" w:cs="Arial"/>
          <w:color w:val="0F243E" w:themeColor="text2" w:themeShade="80"/>
          <w:sz w:val="24"/>
          <w:szCs w:val="24"/>
        </w:rPr>
        <w:tab/>
      </w:r>
      <w:r w:rsidR="002A5EFC"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Calculate the total cost to the firm if </w:t>
      </w:r>
      <w:r w:rsidR="00B237A0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efficiency </w:t>
      </w:r>
      <w:r w:rsidR="002A5EFC"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is reached through the use of an emissions tax.  Explain why it would be </w:t>
      </w:r>
      <w:r w:rsidR="00BC42F2"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 xml:space="preserve">less costly </w:t>
      </w:r>
      <w:r w:rsidR="002A5EFC" w:rsidRPr="003C3E07">
        <w:rPr>
          <w:rFonts w:ascii="Arial" w:eastAsia="Times New Roman" w:hAnsi="Arial" w:cs="Arial"/>
          <w:color w:val="0F243E" w:themeColor="text2" w:themeShade="80"/>
          <w:sz w:val="24"/>
          <w:szCs w:val="24"/>
        </w:rPr>
        <w:t>for the firm if it were regulated by an emissions standard as opposed to a tax.</w:t>
      </w:r>
    </w:p>
    <w:p w:rsidR="00781E73" w:rsidRPr="003C3E07" w:rsidRDefault="00781E73" w:rsidP="006778A5">
      <w:p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br w:type="page"/>
      </w:r>
    </w:p>
    <w:p w:rsidR="00781E73" w:rsidRPr="003C3E07" w:rsidRDefault="00781E73" w:rsidP="006778A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lastRenderedPageBreak/>
        <w:t>Below are</w:t>
      </w:r>
      <w:r w:rsidR="00BA0CD2">
        <w:rPr>
          <w:rFonts w:ascii="Arial" w:hAnsi="Arial" w:cs="Arial"/>
          <w:color w:val="0F243E" w:themeColor="text2" w:themeShade="80"/>
          <w:sz w:val="24"/>
          <w:szCs w:val="24"/>
        </w:rPr>
        <w:t xml:space="preserve"> the marginal abatement costs for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three firms.</w:t>
      </w:r>
    </w:p>
    <w:p w:rsidR="00781E73" w:rsidRPr="003C3E07" w:rsidRDefault="00781E73" w:rsidP="006778A5">
      <w:pPr>
        <w:pStyle w:val="ListParagraph"/>
        <w:ind w:hanging="720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781E73" w:rsidRPr="003C3E07" w:rsidRDefault="00781E73" w:rsidP="009D248D">
      <w:pPr>
        <w:pStyle w:val="ListParagraph"/>
        <w:ind w:left="144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noProof/>
          <w:color w:val="0F243E" w:themeColor="text2" w:themeShade="80"/>
          <w:sz w:val="24"/>
          <w:szCs w:val="24"/>
        </w:rPr>
        <w:drawing>
          <wp:inline distT="0" distB="0" distL="0" distR="0" wp14:anchorId="2028B4C0" wp14:editId="54AAEF22">
            <wp:extent cx="5032858" cy="3043123"/>
            <wp:effectExtent l="0" t="0" r="0" b="5080"/>
            <wp:docPr id="152581" name="Picture 5" descr="untabl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1" name="Picture 5" descr="untable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31" cy="30452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1E73" w:rsidRPr="003C3E07" w:rsidRDefault="00781E73" w:rsidP="006778A5">
      <w:pPr>
        <w:pStyle w:val="ListParagraph"/>
        <w:ind w:hanging="720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785428" w:rsidRPr="003C3E07" w:rsidRDefault="00781E73" w:rsidP="006778A5">
      <w:pPr>
        <w:pStyle w:val="ListParagraph"/>
        <w:ind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Suppose the EPA wa</w:t>
      </w:r>
      <w:r w:rsidR="00643B6D">
        <w:rPr>
          <w:rFonts w:ascii="Arial" w:hAnsi="Arial" w:cs="Arial"/>
          <w:color w:val="0F243E" w:themeColor="text2" w:themeShade="80"/>
          <w:sz w:val="24"/>
          <w:szCs w:val="24"/>
        </w:rPr>
        <w:t xml:space="preserve">nts to limit total emissions 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across firms to fifteen tons per week.  </w:t>
      </w:r>
    </w:p>
    <w:p w:rsidR="00781E73" w:rsidRPr="003C3E07" w:rsidRDefault="00C97085" w:rsidP="006778A5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Calculate</w:t>
      </w:r>
      <w:r w:rsidR="00781E73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total abatement costs across</w:t>
      </w: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firms if the EPA uses an</w:t>
      </w:r>
      <w:r w:rsidR="00781E73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emissions standard limiting each firm to five tons per week.</w:t>
      </w:r>
    </w:p>
    <w:p w:rsidR="00781E73" w:rsidRDefault="00C97085" w:rsidP="006778A5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 w:rsidRPr="003C3E07">
        <w:rPr>
          <w:rFonts w:ascii="Arial" w:hAnsi="Arial" w:cs="Arial"/>
          <w:color w:val="0F243E" w:themeColor="text2" w:themeShade="80"/>
          <w:sz w:val="24"/>
          <w:szCs w:val="24"/>
        </w:rPr>
        <w:t>Calculate</w:t>
      </w:r>
      <w:r w:rsidR="00781E73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 total abatement costs across firms if the EPA achieves its goal by charging an </w:t>
      </w:r>
      <w:r w:rsidR="0027712F" w:rsidRPr="003C3E07">
        <w:rPr>
          <w:rFonts w:ascii="Arial" w:hAnsi="Arial" w:cs="Arial"/>
          <w:color w:val="0F243E" w:themeColor="text2" w:themeShade="80"/>
          <w:sz w:val="24"/>
          <w:szCs w:val="24"/>
        </w:rPr>
        <w:t xml:space="preserve">emissions tax of </w:t>
      </w:r>
      <w:r w:rsidR="00781E73" w:rsidRPr="003C3E07">
        <w:rPr>
          <w:rFonts w:ascii="Arial" w:hAnsi="Arial" w:cs="Arial"/>
          <w:color w:val="0F243E" w:themeColor="text2" w:themeShade="80"/>
          <w:sz w:val="24"/>
          <w:szCs w:val="24"/>
        </w:rPr>
        <w:t>eight dollar</w:t>
      </w:r>
      <w:r w:rsidR="0027712F" w:rsidRPr="003C3E07">
        <w:rPr>
          <w:rFonts w:ascii="Arial" w:hAnsi="Arial" w:cs="Arial"/>
          <w:color w:val="0F243E" w:themeColor="text2" w:themeShade="80"/>
          <w:sz w:val="24"/>
          <w:szCs w:val="24"/>
        </w:rPr>
        <w:t>s/ton</w:t>
      </w:r>
      <w:r w:rsidR="00781E73" w:rsidRPr="003C3E07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B4195D" w:rsidRDefault="00B4195D" w:rsidP="006778A5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Explain the difference in total abatement costs</w:t>
      </w:r>
      <w:r w:rsidR="00672FA2">
        <w:rPr>
          <w:rFonts w:ascii="Arial" w:hAnsi="Arial" w:cs="Arial"/>
          <w:color w:val="0F243E" w:themeColor="text2" w:themeShade="80"/>
          <w:sz w:val="24"/>
          <w:szCs w:val="24"/>
        </w:rPr>
        <w:t>.</w:t>
      </w:r>
    </w:p>
    <w:p w:rsidR="00B4195D" w:rsidRDefault="00672FA2" w:rsidP="006778A5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In the</w:t>
      </w:r>
      <w:r w:rsidR="004D0FAF">
        <w:rPr>
          <w:rFonts w:ascii="Arial" w:hAnsi="Arial" w:cs="Arial"/>
          <w:color w:val="0F243E" w:themeColor="text2" w:themeShade="80"/>
          <w:sz w:val="24"/>
          <w:szCs w:val="24"/>
        </w:rPr>
        <w:t xml:space="preserve"> scenario with three</w:t>
      </w:r>
      <w:r w:rsidR="00B4195D">
        <w:rPr>
          <w:rFonts w:ascii="Arial" w:hAnsi="Arial" w:cs="Arial"/>
          <w:color w:val="0F243E" w:themeColor="text2" w:themeShade="80"/>
          <w:sz w:val="24"/>
          <w:szCs w:val="24"/>
        </w:rPr>
        <w:t xml:space="preserve"> firms, under what circumstances would an emissions standard generate the same total abatement cost as an emissions tax?</w:t>
      </w:r>
    </w:p>
    <w:p w:rsidR="00B4195D" w:rsidRDefault="00B4195D" w:rsidP="006778A5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Assuming the same total emissions allowed, could an emissions</w:t>
      </w:r>
      <w:r w:rsidR="00672FA2">
        <w:rPr>
          <w:rFonts w:ascii="Arial" w:hAnsi="Arial" w:cs="Arial"/>
          <w:color w:val="0F243E" w:themeColor="text2" w:themeShade="80"/>
          <w:sz w:val="24"/>
          <w:szCs w:val="24"/>
        </w:rPr>
        <w:t xml:space="preserve"> standard ever produce a lower</w:t>
      </w:r>
      <w:r>
        <w:rPr>
          <w:rFonts w:ascii="Arial" w:hAnsi="Arial" w:cs="Arial"/>
          <w:color w:val="0F243E" w:themeColor="text2" w:themeShade="80"/>
          <w:sz w:val="24"/>
          <w:szCs w:val="24"/>
        </w:rPr>
        <w:t xml:space="preserve"> total abatement cost than an emissions tax? </w:t>
      </w:r>
    </w:p>
    <w:p w:rsidR="00D721D3" w:rsidRDefault="00D721D3" w:rsidP="00D721D3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D721D3" w:rsidRDefault="00D721D3">
      <w:p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br w:type="page"/>
      </w:r>
    </w:p>
    <w:p w:rsidR="00D721D3" w:rsidRPr="000A3BBE" w:rsidRDefault="00D721D3" w:rsidP="00BE5FAE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4</w:t>
      </w:r>
      <w:r w:rsidRPr="000A3BBE">
        <w:rPr>
          <w:rFonts w:ascii="Arial" w:hAnsi="Arial" w:cs="Arial"/>
          <w:spacing w:val="-3"/>
          <w:sz w:val="24"/>
          <w:szCs w:val="24"/>
        </w:rPr>
        <w:t>.</w:t>
      </w:r>
      <w:r w:rsidRPr="000A3BBE">
        <w:rPr>
          <w:rFonts w:ascii="Arial" w:hAnsi="Arial" w:cs="Arial"/>
          <w:spacing w:val="-3"/>
          <w:sz w:val="24"/>
          <w:szCs w:val="24"/>
        </w:rPr>
        <w:tab/>
        <w:t>Below is the schedule of marginal tax rates the SCAQMD charges firms for sulfur dioxide emissions.</w:t>
      </w: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680"/>
        <w:gridCol w:w="1540"/>
      </w:tblGrid>
      <w:tr w:rsidR="00D721D3" w:rsidRPr="000A3BBE" w:rsidTr="00BE5FAE">
        <w:trPr>
          <w:trHeight w:val="645"/>
          <w:jc w:val="center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Annual Emissions (tons/</w:t>
            </w:r>
            <w:proofErr w:type="spellStart"/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yr</w:t>
            </w:r>
            <w:proofErr w:type="spellEnd"/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Sulfur Oxides ($/ton)</w:t>
            </w:r>
          </w:p>
        </w:tc>
      </w:tr>
      <w:tr w:rsidR="00D721D3" w:rsidRPr="000A3BBE" w:rsidTr="00BE5FA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4 – 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 xml:space="preserve">$394.03 </w:t>
            </w:r>
          </w:p>
        </w:tc>
      </w:tr>
      <w:tr w:rsidR="00D721D3" w:rsidRPr="000A3BBE" w:rsidTr="00BE5FA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25 -75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 xml:space="preserve">$636.97 </w:t>
            </w:r>
          </w:p>
        </w:tc>
      </w:tr>
      <w:tr w:rsidR="00D721D3" w:rsidRPr="000A3BBE" w:rsidTr="00BE5FAE">
        <w:trPr>
          <w:trHeight w:val="300"/>
          <w:jc w:val="center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>above 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1D3" w:rsidRPr="000A3BBE" w:rsidRDefault="00D721D3" w:rsidP="003A48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3BBE">
              <w:rPr>
                <w:rFonts w:ascii="Arial" w:hAnsi="Arial" w:cs="Arial"/>
                <w:color w:val="000000"/>
                <w:sz w:val="24"/>
                <w:szCs w:val="24"/>
              </w:rPr>
              <w:t xml:space="preserve">$956.32 </w:t>
            </w:r>
          </w:p>
        </w:tc>
      </w:tr>
    </w:tbl>
    <w:p w:rsidR="00D721D3" w:rsidRPr="000A3BBE" w:rsidRDefault="00D721D3" w:rsidP="00D721D3">
      <w:pPr>
        <w:tabs>
          <w:tab w:val="left" w:pos="-720"/>
        </w:tabs>
        <w:suppressAutoHyphens/>
        <w:ind w:left="360" w:firstLine="2520"/>
        <w:rPr>
          <w:rFonts w:ascii="Arial" w:hAnsi="Arial" w:cs="Arial"/>
          <w:spacing w:val="-3"/>
          <w:sz w:val="24"/>
          <w:szCs w:val="24"/>
        </w:rPr>
      </w:pPr>
    </w:p>
    <w:p w:rsidR="00D721D3" w:rsidRPr="000A3BBE" w:rsidRDefault="00D721D3" w:rsidP="00D721D3">
      <w:pPr>
        <w:tabs>
          <w:tab w:val="left" w:pos="-720"/>
        </w:tabs>
        <w:suppressAutoHyphens/>
        <w:ind w:left="360" w:hanging="360"/>
        <w:rPr>
          <w:rFonts w:ascii="Arial" w:hAnsi="Arial" w:cs="Arial"/>
          <w:spacing w:val="-3"/>
          <w:sz w:val="24"/>
          <w:szCs w:val="24"/>
        </w:rPr>
      </w:pPr>
      <w:r w:rsidRPr="000A3BBE">
        <w:rPr>
          <w:rFonts w:ascii="Arial" w:hAnsi="Arial" w:cs="Arial"/>
          <w:spacing w:val="-3"/>
          <w:sz w:val="24"/>
          <w:szCs w:val="24"/>
        </w:rPr>
        <w:t>A.</w:t>
      </w:r>
      <w:r w:rsidRPr="000A3BBE">
        <w:rPr>
          <w:rFonts w:ascii="Arial" w:hAnsi="Arial" w:cs="Arial"/>
          <w:spacing w:val="-3"/>
          <w:sz w:val="24"/>
          <w:szCs w:val="24"/>
        </w:rPr>
        <w:tab/>
        <w:t>How much does a firm’s tax liability increase when it emits the 100</w:t>
      </w:r>
      <w:r w:rsidRPr="000A3BBE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 w:rsidRPr="000A3BBE">
        <w:rPr>
          <w:rFonts w:ascii="Arial" w:hAnsi="Arial" w:cs="Arial"/>
          <w:spacing w:val="-3"/>
          <w:sz w:val="24"/>
          <w:szCs w:val="24"/>
        </w:rPr>
        <w:t xml:space="preserve"> ton of sulfur dioxide in a year?  Explain.</w:t>
      </w:r>
    </w:p>
    <w:p w:rsidR="00D721D3" w:rsidRPr="000A3BBE" w:rsidRDefault="00D721D3" w:rsidP="00D721D3">
      <w:pPr>
        <w:tabs>
          <w:tab w:val="left" w:pos="-720"/>
        </w:tabs>
        <w:suppressAutoHyphens/>
        <w:ind w:left="360" w:hanging="360"/>
        <w:rPr>
          <w:rFonts w:ascii="Arial" w:hAnsi="Arial" w:cs="Arial"/>
          <w:spacing w:val="-3"/>
          <w:sz w:val="24"/>
          <w:szCs w:val="24"/>
        </w:rPr>
      </w:pPr>
      <w:r w:rsidRPr="000A3BBE">
        <w:rPr>
          <w:rFonts w:ascii="Arial" w:hAnsi="Arial" w:cs="Arial"/>
          <w:spacing w:val="-3"/>
          <w:sz w:val="24"/>
          <w:szCs w:val="24"/>
        </w:rPr>
        <w:t>B.</w:t>
      </w:r>
      <w:r w:rsidRPr="000A3BBE">
        <w:rPr>
          <w:rFonts w:ascii="Arial" w:hAnsi="Arial" w:cs="Arial"/>
          <w:spacing w:val="-3"/>
          <w:sz w:val="24"/>
          <w:szCs w:val="24"/>
        </w:rPr>
        <w:tab/>
        <w:t>Fill in the table.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15"/>
        <w:gridCol w:w="3150"/>
      </w:tblGrid>
      <w:tr w:rsidR="00D721D3" w:rsidRPr="000A3BBE" w:rsidTr="003A4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Total Oxides of Sulfur Firm Emits in a Year</w:t>
            </w:r>
          </w:p>
        </w:tc>
        <w:tc>
          <w:tcPr>
            <w:tcW w:w="3150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Total 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ax Levied on Firm from a</w:t>
            </w: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bove Schedule</w:t>
            </w:r>
          </w:p>
        </w:tc>
      </w:tr>
      <w:tr w:rsidR="00D721D3" w:rsidRPr="000A3BBE" w:rsidTr="003A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25 tons</w:t>
            </w:r>
          </w:p>
        </w:tc>
        <w:tc>
          <w:tcPr>
            <w:tcW w:w="3150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D721D3" w:rsidRPr="000A3BBE" w:rsidTr="003A48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50 tons</w:t>
            </w:r>
          </w:p>
        </w:tc>
        <w:tc>
          <w:tcPr>
            <w:tcW w:w="3150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D721D3" w:rsidRPr="000A3BBE" w:rsidTr="003A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75 tons</w:t>
            </w:r>
          </w:p>
        </w:tc>
        <w:tc>
          <w:tcPr>
            <w:tcW w:w="3150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D721D3" w:rsidRPr="000A3BBE" w:rsidTr="003A48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0A3BBE">
              <w:rPr>
                <w:rFonts w:ascii="Arial" w:hAnsi="Arial" w:cs="Arial"/>
                <w:spacing w:val="-3"/>
                <w:sz w:val="24"/>
                <w:szCs w:val="24"/>
              </w:rPr>
              <w:t>100 tons</w:t>
            </w:r>
          </w:p>
        </w:tc>
        <w:tc>
          <w:tcPr>
            <w:tcW w:w="3150" w:type="dxa"/>
          </w:tcPr>
          <w:p w:rsidR="00D721D3" w:rsidRPr="000A3BBE" w:rsidRDefault="00D721D3" w:rsidP="003A48F0">
            <w:pPr>
              <w:tabs>
                <w:tab w:val="left" w:pos="-72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D721D3" w:rsidRPr="00D721D3" w:rsidRDefault="00D721D3" w:rsidP="007057CD">
      <w:pPr>
        <w:rPr>
          <w:rFonts w:ascii="Arial" w:hAnsi="Arial" w:cs="Arial"/>
          <w:color w:val="0F243E" w:themeColor="text2" w:themeShade="80"/>
          <w:sz w:val="24"/>
          <w:szCs w:val="24"/>
        </w:rPr>
      </w:pPr>
    </w:p>
    <w:sectPr w:rsidR="00D721D3" w:rsidRPr="00D7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F5B"/>
    <w:multiLevelType w:val="hybridMultilevel"/>
    <w:tmpl w:val="78DAC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73FD"/>
    <w:multiLevelType w:val="hybridMultilevel"/>
    <w:tmpl w:val="E6B2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B75"/>
    <w:multiLevelType w:val="hybridMultilevel"/>
    <w:tmpl w:val="20942632"/>
    <w:lvl w:ilvl="0" w:tplc="C026F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1"/>
    <w:rsid w:val="00014A01"/>
    <w:rsid w:val="00031300"/>
    <w:rsid w:val="00045C5D"/>
    <w:rsid w:val="00106873"/>
    <w:rsid w:val="00205359"/>
    <w:rsid w:val="0027712F"/>
    <w:rsid w:val="002A5EFC"/>
    <w:rsid w:val="003B1FDC"/>
    <w:rsid w:val="003C3E07"/>
    <w:rsid w:val="00450103"/>
    <w:rsid w:val="00463B68"/>
    <w:rsid w:val="004D0FAF"/>
    <w:rsid w:val="00560500"/>
    <w:rsid w:val="005B386B"/>
    <w:rsid w:val="00643B6D"/>
    <w:rsid w:val="00656771"/>
    <w:rsid w:val="00672FA2"/>
    <w:rsid w:val="006778A5"/>
    <w:rsid w:val="007057CD"/>
    <w:rsid w:val="00763F1A"/>
    <w:rsid w:val="00781E73"/>
    <w:rsid w:val="00785428"/>
    <w:rsid w:val="007C0A00"/>
    <w:rsid w:val="00914FCE"/>
    <w:rsid w:val="00987E68"/>
    <w:rsid w:val="009D248D"/>
    <w:rsid w:val="00A169CA"/>
    <w:rsid w:val="00A475E6"/>
    <w:rsid w:val="00AF2244"/>
    <w:rsid w:val="00AF4E25"/>
    <w:rsid w:val="00B022F3"/>
    <w:rsid w:val="00B237A0"/>
    <w:rsid w:val="00B4195D"/>
    <w:rsid w:val="00B42330"/>
    <w:rsid w:val="00BA0CD2"/>
    <w:rsid w:val="00BA783B"/>
    <w:rsid w:val="00BC42F2"/>
    <w:rsid w:val="00BE5FAE"/>
    <w:rsid w:val="00C767EA"/>
    <w:rsid w:val="00C97085"/>
    <w:rsid w:val="00CA1A81"/>
    <w:rsid w:val="00CA4AFB"/>
    <w:rsid w:val="00D22FB4"/>
    <w:rsid w:val="00D67C9B"/>
    <w:rsid w:val="00D721D3"/>
    <w:rsid w:val="00D83ACD"/>
    <w:rsid w:val="00DD22D8"/>
    <w:rsid w:val="00E0717B"/>
    <w:rsid w:val="00E15C98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841B3-C1D7-49DA-9711-5E4DEB2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73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D721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60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lesfinney.net/434/schedu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2012-01-25T18:29:00Z</cp:lastPrinted>
  <dcterms:created xsi:type="dcterms:W3CDTF">2019-02-06T18:23:00Z</dcterms:created>
  <dcterms:modified xsi:type="dcterms:W3CDTF">2019-02-06T18:23:00Z</dcterms:modified>
</cp:coreProperties>
</file>